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EA" w:rsidRDefault="00FF34EA">
      <w:pPr>
        <w:rPr>
          <w:b/>
          <w:bCs/>
          <w:sz w:val="28"/>
          <w:szCs w:val="28"/>
        </w:rPr>
      </w:pPr>
      <w:r>
        <w:rPr>
          <w:b/>
          <w:bCs/>
          <w:sz w:val="28"/>
          <w:szCs w:val="28"/>
        </w:rPr>
        <w:t>Projekt „Spielen ist Kultur - Kultur macht Schule“</w:t>
      </w:r>
    </w:p>
    <w:p w:rsidR="00FF34EA" w:rsidRDefault="00FF34EA">
      <w:pPr>
        <w:rPr>
          <w:i/>
          <w:iCs/>
          <w:sz w:val="26"/>
          <w:szCs w:val="26"/>
        </w:rPr>
      </w:pPr>
      <w:r>
        <w:rPr>
          <w:i/>
          <w:iCs/>
          <w:sz w:val="26"/>
          <w:szCs w:val="26"/>
        </w:rPr>
        <w:t>gefördert durch „Spiel des Jahres“</w:t>
      </w:r>
    </w:p>
    <w:p w:rsidR="00FF34EA" w:rsidRDefault="00FF34EA">
      <w:pPr>
        <w:rPr>
          <w:i/>
          <w:iCs/>
        </w:rPr>
      </w:pPr>
    </w:p>
    <w:p w:rsidR="00FF34EA" w:rsidRDefault="00FF34EA">
      <w:pPr>
        <w:rPr>
          <w:b/>
          <w:bCs/>
          <w:u w:val="single"/>
        </w:rPr>
      </w:pPr>
      <w:r>
        <w:rPr>
          <w:b/>
          <w:bCs/>
          <w:u w:val="single"/>
        </w:rPr>
        <w:t>Brett- und Kartenspiele im Fachunterricht – Sammlung von Unterrichtsideen</w:t>
      </w:r>
    </w:p>
    <w:p w:rsidR="00FF34EA" w:rsidRDefault="00FF34EA"/>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6913"/>
      </w:tblGrid>
      <w:tr w:rsidR="00FF34EA">
        <w:tc>
          <w:tcPr>
            <w:tcW w:w="2725" w:type="dxa"/>
            <w:tcMar>
              <w:left w:w="51" w:type="dxa"/>
            </w:tcMar>
          </w:tcPr>
          <w:p w:rsidR="00FF34EA" w:rsidRDefault="00FF34EA">
            <w:r>
              <w:rPr>
                <w:b/>
                <w:bCs/>
              </w:rPr>
              <w:t>Name</w:t>
            </w:r>
            <w:r>
              <w:t xml:space="preserve"> des Spiels</w:t>
            </w:r>
          </w:p>
        </w:tc>
        <w:tc>
          <w:tcPr>
            <w:tcW w:w="6912" w:type="dxa"/>
            <w:tcBorders>
              <w:left w:val="single" w:sz="2" w:space="0" w:color="000001"/>
              <w:right w:val="single" w:sz="2" w:space="0" w:color="000001"/>
            </w:tcBorders>
            <w:tcMar>
              <w:left w:w="51" w:type="dxa"/>
            </w:tcMar>
          </w:tcPr>
          <w:p w:rsidR="00FF34EA" w:rsidRDefault="00FF34EA">
            <w:pPr>
              <w:pStyle w:val="Tabelleninhalt"/>
            </w:pPr>
            <w:r>
              <w:t>Les Poilus</w:t>
            </w:r>
          </w:p>
        </w:tc>
      </w:tr>
      <w:tr w:rsidR="00FF34EA">
        <w:tc>
          <w:tcPr>
            <w:tcW w:w="2725" w:type="dxa"/>
            <w:tcMar>
              <w:left w:w="51" w:type="dxa"/>
            </w:tcMar>
          </w:tcPr>
          <w:p w:rsidR="00FF34EA" w:rsidRDefault="00FF34EA">
            <w:pPr>
              <w:rPr>
                <w:b/>
                <w:bCs/>
              </w:rPr>
            </w:pPr>
            <w:r>
              <w:rPr>
                <w:b/>
                <w:bCs/>
              </w:rPr>
              <w:t>Fach</w:t>
            </w:r>
          </w:p>
        </w:tc>
        <w:tc>
          <w:tcPr>
            <w:tcW w:w="6912" w:type="dxa"/>
            <w:tcBorders>
              <w:left w:val="single" w:sz="2" w:space="0" w:color="000001"/>
              <w:right w:val="single" w:sz="2" w:space="0" w:color="000001"/>
            </w:tcBorders>
            <w:tcMar>
              <w:left w:w="51" w:type="dxa"/>
            </w:tcMar>
          </w:tcPr>
          <w:p w:rsidR="00FF34EA" w:rsidRDefault="00FF34EA">
            <w:pPr>
              <w:pStyle w:val="Tabelleninhalt"/>
            </w:pPr>
            <w:r>
              <w:t>Geschichte</w:t>
            </w:r>
          </w:p>
        </w:tc>
      </w:tr>
      <w:tr w:rsidR="00FF34EA">
        <w:tc>
          <w:tcPr>
            <w:tcW w:w="2725" w:type="dxa"/>
            <w:tcMar>
              <w:left w:w="51" w:type="dxa"/>
            </w:tcMar>
          </w:tcPr>
          <w:p w:rsidR="00FF34EA" w:rsidRDefault="00FF34EA">
            <w:pPr>
              <w:rPr>
                <w:b/>
                <w:bCs/>
              </w:rPr>
            </w:pPr>
            <w:r>
              <w:rPr>
                <w:b/>
                <w:bCs/>
              </w:rPr>
              <w:t>Thema</w:t>
            </w:r>
            <w:r>
              <w:t xml:space="preserve"> / Inhalt</w:t>
            </w:r>
          </w:p>
        </w:tc>
        <w:tc>
          <w:tcPr>
            <w:tcW w:w="6912" w:type="dxa"/>
            <w:tcBorders>
              <w:left w:val="single" w:sz="2" w:space="0" w:color="000001"/>
              <w:right w:val="single" w:sz="2" w:space="0" w:color="000001"/>
            </w:tcBorders>
            <w:tcMar>
              <w:left w:w="51" w:type="dxa"/>
            </w:tcMar>
          </w:tcPr>
          <w:p w:rsidR="00FF34EA" w:rsidRDefault="00FF34EA">
            <w:pPr>
              <w:pStyle w:val="Tabelleninhalt"/>
            </w:pPr>
            <w:r>
              <w:t>1. Weltkrieg</w:t>
            </w:r>
          </w:p>
        </w:tc>
      </w:tr>
      <w:tr w:rsidR="00FF34EA">
        <w:tc>
          <w:tcPr>
            <w:tcW w:w="2725" w:type="dxa"/>
            <w:tcMar>
              <w:left w:w="51" w:type="dxa"/>
            </w:tcMar>
          </w:tcPr>
          <w:p w:rsidR="00FF34EA" w:rsidRDefault="00FF34EA">
            <w:r>
              <w:t xml:space="preserve">Klasse / </w:t>
            </w:r>
            <w:r>
              <w:rPr>
                <w:b/>
                <w:bCs/>
              </w:rPr>
              <w:t>Alter</w:t>
            </w:r>
            <w:r>
              <w:t xml:space="preserve"> der Lernenden</w:t>
            </w:r>
          </w:p>
        </w:tc>
        <w:tc>
          <w:tcPr>
            <w:tcW w:w="6912" w:type="dxa"/>
            <w:tcBorders>
              <w:left w:val="single" w:sz="2" w:space="0" w:color="000001"/>
              <w:right w:val="single" w:sz="2" w:space="0" w:color="000001"/>
            </w:tcBorders>
            <w:tcMar>
              <w:left w:w="51" w:type="dxa"/>
            </w:tcMar>
          </w:tcPr>
          <w:p w:rsidR="00FF34EA" w:rsidRDefault="00FF34EA" w:rsidP="003E2C24">
            <w:pPr>
              <w:pStyle w:val="Tabelleninhalt"/>
            </w:pPr>
            <w:r>
              <w:t>12 / 17-18 Jahre</w:t>
            </w:r>
          </w:p>
        </w:tc>
      </w:tr>
      <w:tr w:rsidR="00FF34EA">
        <w:tc>
          <w:tcPr>
            <w:tcW w:w="2725" w:type="dxa"/>
            <w:tcMar>
              <w:left w:w="51" w:type="dxa"/>
            </w:tcMar>
          </w:tcPr>
          <w:p w:rsidR="00FF34EA" w:rsidRDefault="00FF34EA">
            <w:r>
              <w:rPr>
                <w:b/>
                <w:bCs/>
              </w:rPr>
              <w:t>Anzahl</w:t>
            </w:r>
            <w:r>
              <w:t xml:space="preserve"> Lernende / </w:t>
            </w:r>
            <w:proofErr w:type="spellStart"/>
            <w:r>
              <w:t>einge</w:t>
            </w:r>
            <w:proofErr w:type="spellEnd"/>
            <w:r>
              <w:t>-setzte Spiel-Exemplare</w:t>
            </w:r>
          </w:p>
        </w:tc>
        <w:tc>
          <w:tcPr>
            <w:tcW w:w="6912" w:type="dxa"/>
            <w:tcBorders>
              <w:left w:val="single" w:sz="2" w:space="0" w:color="000001"/>
              <w:right w:val="single" w:sz="2" w:space="0" w:color="000001"/>
            </w:tcBorders>
            <w:tcMar>
              <w:left w:w="51" w:type="dxa"/>
            </w:tcMar>
          </w:tcPr>
          <w:p w:rsidR="00FF34EA" w:rsidRDefault="00FF34EA">
            <w:pPr>
              <w:pStyle w:val="Tabelleninhalt"/>
            </w:pPr>
            <w:r>
              <w:t>25 / 5</w:t>
            </w:r>
          </w:p>
        </w:tc>
      </w:tr>
      <w:tr w:rsidR="00FF34EA">
        <w:tc>
          <w:tcPr>
            <w:tcW w:w="2725" w:type="dxa"/>
            <w:tcMar>
              <w:left w:w="51" w:type="dxa"/>
            </w:tcMar>
          </w:tcPr>
          <w:p w:rsidR="00FF34EA" w:rsidRDefault="00FF34EA">
            <w:pPr>
              <w:rPr>
                <w:b/>
                <w:bCs/>
              </w:rPr>
            </w:pPr>
            <w:r>
              <w:rPr>
                <w:b/>
                <w:bCs/>
              </w:rPr>
              <w:t xml:space="preserve">Dauer </w:t>
            </w:r>
            <w:r>
              <w:t xml:space="preserve">(ca. Minuten oder Unterrichtsstunden) </w:t>
            </w:r>
          </w:p>
        </w:tc>
        <w:tc>
          <w:tcPr>
            <w:tcW w:w="6912" w:type="dxa"/>
            <w:tcBorders>
              <w:left w:val="single" w:sz="2" w:space="0" w:color="000001"/>
              <w:right w:val="single" w:sz="2" w:space="0" w:color="000001"/>
            </w:tcBorders>
            <w:tcMar>
              <w:left w:w="51" w:type="dxa"/>
            </w:tcMar>
          </w:tcPr>
          <w:p w:rsidR="00FF34EA" w:rsidRDefault="00FF34EA">
            <w:pPr>
              <w:pStyle w:val="Tabelleninhalt"/>
            </w:pPr>
            <w:r>
              <w:t>90 Minuten</w:t>
            </w:r>
          </w:p>
        </w:tc>
      </w:tr>
      <w:tr w:rsidR="00FF34EA">
        <w:tc>
          <w:tcPr>
            <w:tcW w:w="2725" w:type="dxa"/>
            <w:tcMar>
              <w:left w:w="51" w:type="dxa"/>
            </w:tcMar>
          </w:tcPr>
          <w:p w:rsidR="00FF34EA" w:rsidRDefault="00FF34EA">
            <w:pPr>
              <w:rPr>
                <w:b/>
                <w:bCs/>
              </w:rPr>
            </w:pPr>
            <w:r>
              <w:rPr>
                <w:b/>
                <w:bCs/>
              </w:rPr>
              <w:t>Unterrichtsphase</w:t>
            </w:r>
          </w:p>
        </w:tc>
        <w:tc>
          <w:tcPr>
            <w:tcW w:w="6912" w:type="dxa"/>
            <w:tcBorders>
              <w:left w:val="single" w:sz="2" w:space="0" w:color="000001"/>
              <w:right w:val="single" w:sz="2" w:space="0" w:color="000001"/>
            </w:tcBorders>
            <w:tcMar>
              <w:left w:w="51" w:type="dxa"/>
            </w:tcMar>
          </w:tcPr>
          <w:p w:rsidR="00FF34EA" w:rsidRDefault="00FF34EA">
            <w:pPr>
              <w:pStyle w:val="Tabelleninhalt"/>
            </w:pPr>
            <w:bookmarkStart w:id="0" w:name=""/>
            <w:bookmarkEnd w:id="0"/>
            <w:r>
              <w:rPr>
                <w:rFonts w:ascii="Webdings" w:eastAsia="Times New Roman" w:hAnsi="Webdings" w:cs="Webdings"/>
              </w:rPr>
              <w:t></w:t>
            </w:r>
            <w:r>
              <w:rPr>
                <w:rFonts w:ascii="Webdings" w:eastAsia="Times New Roman" w:hAnsi="Webdings" w:cs="Webdings"/>
              </w:rPr>
              <w:t></w:t>
            </w:r>
            <w:r>
              <w:rPr>
                <w:rFonts w:eastAsia="Times New Roman" w:cs="Webdings"/>
              </w:rPr>
              <w:t xml:space="preserve">Einstieg  </w:t>
            </w:r>
            <w:r>
              <w:rPr>
                <w:rFonts w:ascii="Webdings" w:eastAsia="Times New Roman" w:hAnsi="Webdings" w:cs="Webdings"/>
              </w:rPr>
              <w:t></w:t>
            </w:r>
            <w:r>
              <w:rPr>
                <w:rFonts w:ascii="Webdings" w:eastAsia="Times New Roman" w:hAnsi="Webdings" w:cs="Webdings"/>
              </w:rPr>
              <w:t></w:t>
            </w:r>
            <w:r>
              <w:rPr>
                <w:rFonts w:eastAsia="Times New Roman" w:cs="Webdings"/>
              </w:rPr>
              <w:t xml:space="preserve">Erarbeitung  </w:t>
            </w:r>
            <w:r>
              <w:rPr>
                <w:rFonts w:ascii="Webdings" w:eastAsia="Times New Roman" w:hAnsi="Webdings" w:cs="Webdings"/>
              </w:rPr>
              <w:t></w:t>
            </w:r>
            <w:r>
              <w:rPr>
                <w:rFonts w:ascii="Webdings" w:eastAsia="Times New Roman" w:hAnsi="Webdings" w:cs="Webdings"/>
              </w:rPr>
              <w:t></w:t>
            </w:r>
            <w:r>
              <w:rPr>
                <w:rFonts w:eastAsia="Times New Roman" w:cs="Webdings"/>
              </w:rPr>
              <w:t xml:space="preserve">Sicherung  </w:t>
            </w:r>
            <w:r>
              <w:rPr>
                <w:rFonts w:ascii="Webdings" w:eastAsia="Times New Roman" w:hAnsi="Webdings" w:cs="Webdings"/>
              </w:rPr>
              <w:t></w:t>
            </w:r>
            <w:r>
              <w:rPr>
                <w:rFonts w:ascii="Webdings" w:eastAsia="Times New Roman" w:hAnsi="Webdings" w:cs="Webdings"/>
              </w:rPr>
              <w:t></w:t>
            </w:r>
            <w:r>
              <w:rPr>
                <w:rFonts w:eastAsia="Times New Roman" w:cs="Webdings"/>
              </w:rPr>
              <w:t>Wiederholen/Üben</w:t>
            </w:r>
          </w:p>
          <w:p w:rsidR="00FF34EA" w:rsidRDefault="00FF34EA">
            <w:pPr>
              <w:pStyle w:val="Tabelleninhalt"/>
              <w:rPr>
                <w:rFonts w:eastAsia="Times New Roman" w:cs="Webdings"/>
              </w:rPr>
            </w:pPr>
          </w:p>
          <w:p w:rsidR="00FF34EA" w:rsidRDefault="003E2C24">
            <w:pPr>
              <w:pStyle w:val="Tabelleninhalt"/>
            </w:pPr>
            <w:bookmarkStart w:id="1" w:name="_GoBack"/>
            <w:bookmarkEnd w:id="1"/>
            <w:r>
              <w:rPr>
                <w:rFonts w:eastAsia="Times New Roman" w:cs="Webdings"/>
                <w:b/>
              </w:rPr>
              <w:t>X A</w:t>
            </w:r>
            <w:r w:rsidR="00FF34EA" w:rsidRPr="00993725">
              <w:rPr>
                <w:rFonts w:eastAsia="Times New Roman" w:cs="Webdings"/>
                <w:b/>
              </w:rPr>
              <w:t>ndere</w:t>
            </w:r>
            <w:r w:rsidR="00FF34EA">
              <w:rPr>
                <w:rFonts w:eastAsia="Times New Roman" w:cs="Webdings"/>
              </w:rPr>
              <w:t xml:space="preserve">: </w:t>
            </w:r>
            <w:r w:rsidR="00FF34EA" w:rsidRPr="00993725">
              <w:rPr>
                <w:rFonts w:eastAsia="Times New Roman" w:cs="Webdings"/>
                <w:b/>
              </w:rPr>
              <w:t>Erweiterung</w:t>
            </w:r>
          </w:p>
        </w:tc>
      </w:tr>
      <w:tr w:rsidR="00FF34EA">
        <w:tc>
          <w:tcPr>
            <w:tcW w:w="2725" w:type="dxa"/>
            <w:tcMar>
              <w:left w:w="51" w:type="dxa"/>
            </w:tcMar>
          </w:tcPr>
          <w:p w:rsidR="00FF34EA" w:rsidRDefault="00FF34EA">
            <w:r>
              <w:rPr>
                <w:b/>
                <w:bCs/>
              </w:rPr>
              <w:t>Lernziel</w:t>
            </w:r>
            <w:r>
              <w:t xml:space="preserve"> und/oder </w:t>
            </w:r>
          </w:p>
          <w:p w:rsidR="00FF34EA" w:rsidRDefault="00FF34EA">
            <w:r>
              <w:t xml:space="preserve">geförderte </w:t>
            </w:r>
            <w:r>
              <w:rPr>
                <w:b/>
                <w:bCs/>
              </w:rPr>
              <w:t>Kompetenzen</w:t>
            </w:r>
          </w:p>
        </w:tc>
        <w:tc>
          <w:tcPr>
            <w:tcW w:w="6912" w:type="dxa"/>
            <w:tcBorders>
              <w:left w:val="single" w:sz="2" w:space="0" w:color="000001"/>
              <w:right w:val="single" w:sz="2" w:space="0" w:color="000001"/>
            </w:tcBorders>
            <w:tcMar>
              <w:left w:w="51" w:type="dxa"/>
            </w:tcMar>
          </w:tcPr>
          <w:p w:rsidR="00FF34EA" w:rsidRDefault="00FF34EA">
            <w:pPr>
              <w:pStyle w:val="Tabelleninhalt"/>
            </w:pPr>
            <w:r>
              <w:t>Die Schüler erkennen, wie der 1. Weltkrieg in modernen geschichtskulturellen Spielen aufgegriffen wird und reflektieren dies in Hinsicht auf gesellschaftliche Wahrnehmung des historischen Ereignisses.</w:t>
            </w:r>
          </w:p>
          <w:p w:rsidR="00FF34EA" w:rsidRDefault="00FF34EA">
            <w:pPr>
              <w:pStyle w:val="Tabelleninhalt"/>
            </w:pPr>
          </w:p>
        </w:tc>
      </w:tr>
      <w:tr w:rsidR="00FF34EA">
        <w:tc>
          <w:tcPr>
            <w:tcW w:w="2725" w:type="dxa"/>
            <w:tcMar>
              <w:left w:w="51" w:type="dxa"/>
            </w:tcMar>
          </w:tcPr>
          <w:p w:rsidR="00FF34EA" w:rsidRDefault="00FF34EA">
            <w:r>
              <w:t xml:space="preserve">Benötigte </w:t>
            </w:r>
            <w:r>
              <w:rPr>
                <w:b/>
                <w:bCs/>
              </w:rPr>
              <w:t>Materialien</w:t>
            </w:r>
            <w:r>
              <w:t xml:space="preserve"> (aus dem Spiel oder ggf. auch darüber hinaus zusätzliche Materialien und Medien)</w:t>
            </w:r>
          </w:p>
        </w:tc>
        <w:tc>
          <w:tcPr>
            <w:tcW w:w="6912" w:type="dxa"/>
            <w:tcBorders>
              <w:left w:val="single" w:sz="2" w:space="0" w:color="000001"/>
              <w:right w:val="single" w:sz="2" w:space="0" w:color="000001"/>
            </w:tcBorders>
            <w:tcMar>
              <w:left w:w="51" w:type="dxa"/>
            </w:tcMar>
          </w:tcPr>
          <w:p w:rsidR="00FF34EA" w:rsidRDefault="00FF34EA">
            <w:pPr>
              <w:pStyle w:val="Tabelleninhalt"/>
            </w:pPr>
            <w:r>
              <w:t>Spiele + gedruckte Anleitungen</w:t>
            </w:r>
          </w:p>
          <w:p w:rsidR="00FF34EA" w:rsidRDefault="00FF34EA">
            <w:pPr>
              <w:pStyle w:val="Tabelleninhalt"/>
            </w:pPr>
            <w:r>
              <w:t xml:space="preserve">Medienwagen + </w:t>
            </w:r>
            <w:proofErr w:type="spellStart"/>
            <w:r>
              <w:t>Beamer</w:t>
            </w:r>
            <w:proofErr w:type="spellEnd"/>
            <w:r>
              <w:t xml:space="preserve"> + Internet für </w:t>
            </w:r>
            <w:proofErr w:type="spellStart"/>
            <w:r>
              <w:t>Tutorialvideos</w:t>
            </w:r>
            <w:proofErr w:type="spellEnd"/>
          </w:p>
        </w:tc>
      </w:tr>
      <w:tr w:rsidR="00FF34EA">
        <w:tc>
          <w:tcPr>
            <w:tcW w:w="2725" w:type="dxa"/>
            <w:tcMar>
              <w:left w:w="51" w:type="dxa"/>
            </w:tcMar>
          </w:tcPr>
          <w:p w:rsidR="00FF34EA" w:rsidRDefault="00FF34EA">
            <w:r>
              <w:t xml:space="preserve">Kurze Beschreibung der </w:t>
            </w:r>
          </w:p>
          <w:p w:rsidR="00FF34EA" w:rsidRDefault="00FF34EA">
            <w:pPr>
              <w:rPr>
                <w:b/>
                <w:bCs/>
              </w:rPr>
            </w:pPr>
            <w:r>
              <w:rPr>
                <w:b/>
                <w:bCs/>
              </w:rPr>
              <w:t xml:space="preserve">Unterrichtsidee </w:t>
            </w:r>
            <w:r>
              <w:t>(Voraussetzung/en, Unterrichtsphase, Ablauf, Hindernisse und Tipps für die Durchführung)</w:t>
            </w:r>
          </w:p>
          <w:p w:rsidR="00FF34EA" w:rsidRDefault="00FF34EA">
            <w:pPr>
              <w:pStyle w:val="Tabelleninhalt"/>
            </w:pPr>
          </w:p>
        </w:tc>
        <w:tc>
          <w:tcPr>
            <w:tcW w:w="6912" w:type="dxa"/>
            <w:tcBorders>
              <w:left w:val="single" w:sz="2" w:space="0" w:color="000001"/>
              <w:right w:val="single" w:sz="2" w:space="0" w:color="000001"/>
            </w:tcBorders>
            <w:tcMar>
              <w:left w:w="51" w:type="dxa"/>
            </w:tcMar>
          </w:tcPr>
          <w:p w:rsidR="00FF34EA" w:rsidRDefault="00FF34EA">
            <w:pPr>
              <w:pStyle w:val="Tabelleninhalt"/>
            </w:pPr>
            <w:r w:rsidRPr="00993725">
              <w:rPr>
                <w:b/>
                <w:u w:val="single"/>
              </w:rPr>
              <w:t>Voraussetzungen</w:t>
            </w:r>
            <w:r>
              <w:t xml:space="preserve">: </w:t>
            </w:r>
          </w:p>
          <w:p w:rsidR="00FF34EA" w:rsidRDefault="00FF34EA">
            <w:pPr>
              <w:pStyle w:val="Tabelleninhalt"/>
            </w:pPr>
            <w:r>
              <w:t>Kenntnisse über die Realität der soldatischen Lebenswelten im industrialisierten Stellungskrieg.</w:t>
            </w:r>
          </w:p>
          <w:p w:rsidR="00FF34EA" w:rsidRDefault="00FF34EA">
            <w:pPr>
              <w:pStyle w:val="Tabelleninhalt"/>
            </w:pPr>
          </w:p>
          <w:p w:rsidR="00FF34EA" w:rsidRDefault="00FF34EA">
            <w:pPr>
              <w:pStyle w:val="Tabelleninhalt"/>
            </w:pPr>
            <w:r w:rsidRPr="00993725">
              <w:rPr>
                <w:b/>
                <w:u w:val="single"/>
              </w:rPr>
              <w:t>Einstieg</w:t>
            </w:r>
            <w:r>
              <w:t xml:space="preserve">: </w:t>
            </w:r>
          </w:p>
          <w:p w:rsidR="00FF34EA" w:rsidRDefault="00FF34EA">
            <w:pPr>
              <w:pStyle w:val="Tabelleninhalt"/>
            </w:pPr>
            <w:r>
              <w:t>Die Schüler nennen verschiedene kulturelle Bereiche, in denen der 1. WK aufgegriffen wird (Filme, Denkmäler, Computerspiele, Zeitungsartikel etc.).</w:t>
            </w:r>
          </w:p>
          <w:p w:rsidR="00FF34EA" w:rsidRDefault="00FF34EA">
            <w:pPr>
              <w:pStyle w:val="Tabelleninhalt"/>
              <w:rPr>
                <w:b/>
                <w:u w:val="single"/>
              </w:rPr>
            </w:pPr>
          </w:p>
          <w:p w:rsidR="00FF34EA" w:rsidRDefault="00FF34EA">
            <w:pPr>
              <w:pStyle w:val="Tabelleninhalt"/>
            </w:pPr>
            <w:r w:rsidRPr="00993725">
              <w:rPr>
                <w:b/>
                <w:u w:val="single"/>
              </w:rPr>
              <w:t>Ablauf</w:t>
            </w:r>
            <w:r>
              <w:t>:</w:t>
            </w:r>
          </w:p>
          <w:p w:rsidR="00FF34EA" w:rsidRDefault="00FF34EA">
            <w:pPr>
              <w:pStyle w:val="Tabelleninhalt"/>
            </w:pPr>
            <w:r>
              <w:t xml:space="preserve">Die </w:t>
            </w:r>
            <w:proofErr w:type="spellStart"/>
            <w:r>
              <w:t>SuS</w:t>
            </w:r>
            <w:proofErr w:type="spellEnd"/>
            <w:r>
              <w:t xml:space="preserve"> spielen in Kleingruppen. Im Anschluss wird zunächst beschrieben, welche Teilbereiche des Krieges thematisiert werden (Gaskrieg, Bedrohungen, Traumata, Kameradschaft, Frieden als Endziel, Kriegerdenkmal als Niederlage: „Wenn das Kriegerdenkmal sichtbar wird, seid ihr Helden des 1.WK – also tot!“) und aus wessen Perspektive der Krieg wahrgenommen wird (Frontsoldaten, nah am Geschehen). In einem weiteren Schritt wird reflektiert, welche Rückschlüsse dies auf die Wahrnehmung des 1. WK in der modernen Gesellschaft zulässt (zumindest in Hinblick auf die Gesellschaft, in der das Spiel entwickelt wurde – Frankreich?). </w:t>
            </w:r>
          </w:p>
          <w:p w:rsidR="00FF34EA" w:rsidRDefault="00FF34EA">
            <w:pPr>
              <w:pStyle w:val="Tabelleninhalt"/>
            </w:pPr>
          </w:p>
          <w:p w:rsidR="00FF34EA" w:rsidRDefault="00FF34EA">
            <w:pPr>
              <w:pStyle w:val="Tabelleninhalt"/>
            </w:pPr>
          </w:p>
          <w:p w:rsidR="00FF34EA" w:rsidRDefault="00FF34EA">
            <w:pPr>
              <w:pStyle w:val="Tabelleninhalt"/>
            </w:pPr>
            <w:r w:rsidRPr="00993725">
              <w:rPr>
                <w:b/>
                <w:u w:val="single"/>
              </w:rPr>
              <w:t>Tipps</w:t>
            </w:r>
            <w:r>
              <w:t>:</w:t>
            </w:r>
          </w:p>
          <w:p w:rsidR="00FF34EA" w:rsidRDefault="00FF34EA" w:rsidP="00110CC7">
            <w:pPr>
              <w:pStyle w:val="Tabelleninhalt"/>
              <w:numPr>
                <w:ilvl w:val="0"/>
                <w:numId w:val="1"/>
              </w:numPr>
            </w:pPr>
            <w:r>
              <w:t xml:space="preserve">Auf </w:t>
            </w:r>
            <w:proofErr w:type="spellStart"/>
            <w:r>
              <w:t>Youtube</w:t>
            </w:r>
            <w:proofErr w:type="spellEnd"/>
            <w:r>
              <w:t xml:space="preserve"> gibt es verschiedene „</w:t>
            </w:r>
            <w:proofErr w:type="spellStart"/>
            <w:r>
              <w:t>Playthrough</w:t>
            </w:r>
            <w:proofErr w:type="spellEnd"/>
            <w:r>
              <w:t>“- und Erklärungsvideos.</w:t>
            </w:r>
          </w:p>
          <w:p w:rsidR="00FF34EA" w:rsidRDefault="00FF34EA" w:rsidP="00110CC7">
            <w:pPr>
              <w:pStyle w:val="Tabelleninhalt"/>
              <w:numPr>
                <w:ilvl w:val="0"/>
                <w:numId w:val="1"/>
              </w:numPr>
            </w:pPr>
            <w:r>
              <w:t>Es sollte die einfachste Spielvariante gewählt werden (ohne Fallen).</w:t>
            </w:r>
          </w:p>
          <w:p w:rsidR="00FF34EA" w:rsidRDefault="00FF34EA" w:rsidP="00993725">
            <w:pPr>
              <w:pStyle w:val="Tabelleninhalt"/>
              <w:numPr>
                <w:ilvl w:val="0"/>
                <w:numId w:val="1"/>
              </w:numPr>
            </w:pPr>
            <w:r w:rsidRPr="00993725">
              <w:rPr>
                <w:b/>
              </w:rPr>
              <w:t xml:space="preserve">Da die Schüler große Probleme haben, das Spiel zu verstehen, rate ich dringend, die Regeln durch eine Hausaufgabe </w:t>
            </w:r>
            <w:proofErr w:type="spellStart"/>
            <w:r w:rsidRPr="00993725">
              <w:rPr>
                <w:b/>
              </w:rPr>
              <w:t>vorzuentlasten</w:t>
            </w:r>
            <w:proofErr w:type="spellEnd"/>
            <w:r>
              <w:t>. Der Einstieg zum Ende der vorherigen Stunde ist denkbar. Auch die Lehrkraft sollte sich im Vorfeld eingehend mit den Regeln beschäftigen.</w:t>
            </w:r>
          </w:p>
          <w:p w:rsidR="00FF34EA" w:rsidRDefault="00FF34EA">
            <w:pPr>
              <w:pStyle w:val="Tabelleninhalt"/>
            </w:pPr>
          </w:p>
        </w:tc>
      </w:tr>
      <w:tr w:rsidR="00FF34EA">
        <w:tc>
          <w:tcPr>
            <w:tcW w:w="2725" w:type="dxa"/>
            <w:tcMar>
              <w:left w:w="51" w:type="dxa"/>
            </w:tcMar>
          </w:tcPr>
          <w:p w:rsidR="00FF34EA" w:rsidRDefault="00FF34EA">
            <w:r>
              <w:rPr>
                <w:b/>
                <w:bCs/>
              </w:rPr>
              <w:lastRenderedPageBreak/>
              <w:t>Differenzierungs-möglichkeiten</w:t>
            </w:r>
          </w:p>
        </w:tc>
        <w:tc>
          <w:tcPr>
            <w:tcW w:w="6912" w:type="dxa"/>
            <w:tcBorders>
              <w:left w:val="single" w:sz="2" w:space="0" w:color="000001"/>
              <w:right w:val="single" w:sz="2" w:space="0" w:color="000001"/>
            </w:tcBorders>
            <w:tcMar>
              <w:left w:w="51" w:type="dxa"/>
            </w:tcMar>
          </w:tcPr>
          <w:p w:rsidR="00FF34EA" w:rsidRDefault="00FF34EA">
            <w:pPr>
              <w:pStyle w:val="Tabelleninhalt"/>
            </w:pPr>
          </w:p>
        </w:tc>
      </w:tr>
    </w:tbl>
    <w:p w:rsidR="00FF34EA" w:rsidRDefault="00FF34EA"/>
    <w:sectPr w:rsidR="00FF34EA" w:rsidSect="00E67B2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E00"/>
    <w:multiLevelType w:val="hybridMultilevel"/>
    <w:tmpl w:val="43406280"/>
    <w:lvl w:ilvl="0" w:tplc="BD921260">
      <w:start w:val="90"/>
      <w:numFmt w:val="bullet"/>
      <w:lvlText w:val="-"/>
      <w:lvlJc w:val="left"/>
      <w:pPr>
        <w:tabs>
          <w:tab w:val="num" w:pos="720"/>
        </w:tabs>
        <w:ind w:left="720" w:hanging="360"/>
      </w:pPr>
      <w:rPr>
        <w:rFonts w:ascii="Liberation Serif" w:eastAsia="SimSun" w:hAnsi="Liberation Serif"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NotTrackMoves/>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B16"/>
    <w:rsid w:val="00096B16"/>
    <w:rsid w:val="00110CC7"/>
    <w:rsid w:val="002C4648"/>
    <w:rsid w:val="003E2C24"/>
    <w:rsid w:val="00993725"/>
    <w:rsid w:val="00B279BC"/>
    <w:rsid w:val="00B61DEF"/>
    <w:rsid w:val="00E67B25"/>
    <w:rsid w:val="00F25594"/>
    <w:rsid w:val="00FC54BB"/>
    <w:rsid w:val="00FF3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B25"/>
    <w:rPr>
      <w:color w:val="00000A"/>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uiPriority w:val="99"/>
    <w:rsid w:val="00E67B25"/>
    <w:pPr>
      <w:keepNext/>
      <w:spacing w:before="240" w:after="120"/>
    </w:pPr>
    <w:rPr>
      <w:rFonts w:ascii="Liberation Sans" w:eastAsia="Microsoft YaHei" w:hAnsi="Liberation Sans"/>
      <w:sz w:val="28"/>
      <w:szCs w:val="28"/>
    </w:rPr>
  </w:style>
  <w:style w:type="paragraph" w:styleId="Textkrper">
    <w:name w:val="Body Text"/>
    <w:basedOn w:val="Standard"/>
    <w:link w:val="TextkrperZchn"/>
    <w:uiPriority w:val="99"/>
    <w:rsid w:val="00E67B25"/>
    <w:pPr>
      <w:spacing w:after="140" w:line="288" w:lineRule="auto"/>
    </w:pPr>
  </w:style>
  <w:style w:type="character" w:customStyle="1" w:styleId="TextkrperZchn">
    <w:name w:val="Textkörper Zchn"/>
    <w:link w:val="Textkrper"/>
    <w:uiPriority w:val="99"/>
    <w:semiHidden/>
    <w:rsid w:val="009803B5"/>
    <w:rPr>
      <w:rFonts w:cs="Mangal"/>
      <w:color w:val="00000A"/>
      <w:sz w:val="24"/>
      <w:szCs w:val="21"/>
      <w:lang w:eastAsia="zh-CN" w:bidi="hi-IN"/>
    </w:rPr>
  </w:style>
  <w:style w:type="paragraph" w:styleId="Liste">
    <w:name w:val="List"/>
    <w:basedOn w:val="Textkrper"/>
    <w:uiPriority w:val="99"/>
    <w:rsid w:val="00E67B25"/>
  </w:style>
  <w:style w:type="paragraph" w:styleId="Beschriftung">
    <w:name w:val="caption"/>
    <w:basedOn w:val="Standard"/>
    <w:uiPriority w:val="99"/>
    <w:qFormat/>
    <w:rsid w:val="00E67B25"/>
    <w:pPr>
      <w:suppressLineNumbers/>
      <w:spacing w:before="120" w:after="120"/>
    </w:pPr>
    <w:rPr>
      <w:i/>
      <w:iCs/>
    </w:rPr>
  </w:style>
  <w:style w:type="paragraph" w:customStyle="1" w:styleId="Verzeichnis">
    <w:name w:val="Verzeichnis"/>
    <w:basedOn w:val="Standard"/>
    <w:uiPriority w:val="99"/>
    <w:rsid w:val="00E67B25"/>
    <w:pPr>
      <w:suppressLineNumbers/>
    </w:pPr>
  </w:style>
  <w:style w:type="paragraph" w:customStyle="1" w:styleId="Tabelleninhalt">
    <w:name w:val="Tabelleninhalt"/>
    <w:basedOn w:val="Standard"/>
    <w:uiPriority w:val="99"/>
    <w:rsid w:val="00E67B2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8</cp:revision>
  <cp:lastPrinted>2018-11-30T09:25:00Z</cp:lastPrinted>
  <dcterms:created xsi:type="dcterms:W3CDTF">2018-04-30T05:52:00Z</dcterms:created>
  <dcterms:modified xsi:type="dcterms:W3CDTF">2018-11-30T09:26:00Z</dcterms:modified>
</cp:coreProperties>
</file>