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EB5A90">
            <w:pPr>
              <w:pStyle w:val="Tabelleninhalt"/>
              <w:rPr>
                <w:rFonts w:hint="eastAsia"/>
              </w:rPr>
            </w:pPr>
            <w:r>
              <w:t>Konjugations</w:t>
            </w:r>
            <w:r w:rsidR="00813020">
              <w:t>-Challenge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Deutsch</w:t>
            </w:r>
            <w:r w:rsidR="001C1EBE">
              <w:t>, Fremdsprachen</w:t>
            </w:r>
            <w:bookmarkStart w:id="0" w:name="_GoBack"/>
            <w:bookmarkEnd w:id="0"/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Konjugationsübung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7.</w:t>
            </w:r>
            <w:r w:rsidR="0090659C">
              <w:t xml:space="preserve"> </w:t>
            </w:r>
            <w:r>
              <w:t>bis</w:t>
            </w:r>
            <w:r w:rsidR="0090659C">
              <w:t xml:space="preserve"> </w:t>
            </w:r>
            <w:r>
              <w:t>13.Schuljahr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 w:rsidP="00813020">
            <w:pPr>
              <w:pStyle w:val="Tabelleninhalt"/>
              <w:rPr>
                <w:rFonts w:hint="eastAsia"/>
              </w:rPr>
            </w:pPr>
            <w:r>
              <w:t xml:space="preserve">beliebig </w:t>
            </w:r>
            <w:r w:rsidR="00813020">
              <w:t>viele Spieler Ausscheidungswettbewerb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13020">
            <w:pPr>
              <w:pStyle w:val="Tabelleninhalt"/>
              <w:rPr>
                <w:rFonts w:hint="eastAsia"/>
              </w:rPr>
            </w:pPr>
            <w:r>
              <w:t>mindestens 10 Minuten, beliebig ausdehnbar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1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1"/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Einstieg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Erarbeitung  </w:t>
            </w:r>
            <w:r w:rsidR="0090659C">
              <w:rPr>
                <w:rFonts w:eastAsia="Webdings" w:cs="Webdings"/>
              </w:rPr>
              <w:t>X S</w:t>
            </w:r>
            <w:r>
              <w:rPr>
                <w:rFonts w:eastAsia="Webdings" w:cs="Webdings"/>
              </w:rPr>
              <w:t xml:space="preserve">icherung  </w:t>
            </w:r>
            <w:r w:rsidR="0090659C">
              <w:rPr>
                <w:rFonts w:eastAsia="Webdings" w:cs="Webdings"/>
              </w:rPr>
              <w:t>X W</w:t>
            </w:r>
            <w:r>
              <w:rPr>
                <w:rFonts w:eastAsia="Webdings" w:cs="Webdings"/>
              </w:rPr>
              <w:t>iederholen/Üben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75779">
            <w:pPr>
              <w:pStyle w:val="Tabelleninhalt"/>
              <w:rPr>
                <w:rFonts w:hint="eastAsia"/>
              </w:rPr>
            </w:pPr>
            <w:r>
              <w:t>Einübung von Konjugationsfachbegriffen und Konjugation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13020">
            <w:pPr>
              <w:pStyle w:val="Tabelleninhalt"/>
              <w:rPr>
                <w:rFonts w:hint="eastAsia"/>
              </w:rPr>
            </w:pPr>
            <w:r>
              <w:t>Spielzettel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13020">
            <w:pPr>
              <w:pStyle w:val="Tabelleninhalt"/>
              <w:rPr>
                <w:rFonts w:hint="eastAsia"/>
              </w:rPr>
            </w:pPr>
            <w:r>
              <w:t>Schüler füllt Vorlagezettel aus und vermerkt Infiniti</w:t>
            </w:r>
            <w:r w:rsidR="0090659C">
              <w:t>v</w:t>
            </w:r>
            <w:r>
              <w:t>-Verbform und kreuzt in Tabelle die Konjugationsvorgaben an. Gegner versucht zu lösen. Punktvergabe nach richtiger Lösung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13020">
            <w:pPr>
              <w:pStyle w:val="Tabelleninhalt"/>
              <w:rPr>
                <w:rFonts w:hint="eastAsia"/>
              </w:rPr>
            </w:pPr>
            <w:r>
              <w:t>Einschränkung der Konjugationskategorien/Vorgabe von Verben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6B16"/>
    <w:rsid w:val="001C1EBE"/>
    <w:rsid w:val="00341854"/>
    <w:rsid w:val="00813020"/>
    <w:rsid w:val="0090659C"/>
    <w:rsid w:val="00A75779"/>
    <w:rsid w:val="00B50D6B"/>
    <w:rsid w:val="00EB5A90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8</cp:revision>
  <cp:lastPrinted>2018-11-30T09:41:00Z</cp:lastPrinted>
  <dcterms:created xsi:type="dcterms:W3CDTF">2018-09-09T14:04:00Z</dcterms:created>
  <dcterms:modified xsi:type="dcterms:W3CDTF">2018-11-30T09:41:00Z</dcterms:modified>
  <dc:language>de-DE</dc:language>
</cp:coreProperties>
</file>