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Projekt „Spielen ist Kultur - Kultur macht Schule“</w:t>
      </w:r>
    </w:p>
    <w:p>
      <w:pPr>
        <w:pStyle w:val="Normal"/>
        <w:rPr>
          <w:i/>
          <w:i/>
          <w:iCs/>
          <w:sz w:val="26"/>
          <w:szCs w:val="26"/>
        </w:rPr>
      </w:pPr>
      <w:r>
        <w:rPr>
          <w:i/>
          <w:iCs/>
          <w:sz w:val="26"/>
          <w:szCs w:val="26"/>
        </w:rPr>
        <w:t>gefördert durch „Spiel des Jahres“</w:t>
      </w:r>
    </w:p>
    <w:p>
      <w:pPr>
        <w:pStyle w:val="Normal"/>
        <w:rPr>
          <w:i/>
          <w:i/>
          <w:iCs/>
        </w:rPr>
      </w:pPr>
      <w:r>
        <w:rPr>
          <w:i/>
          <w:iCs/>
        </w:rPr>
      </w:r>
    </w:p>
    <w:p>
      <w:pPr>
        <w:pStyle w:val="Normal"/>
        <w:rPr>
          <w:b/>
          <w:b/>
          <w:bCs/>
          <w:u w:val="single"/>
        </w:rPr>
      </w:pPr>
      <w:r>
        <w:rPr>
          <w:b/>
          <w:bCs/>
          <w:u w:val="single"/>
        </w:rPr>
        <w:t>Brett- und Kartenspiele im Fachunterricht – Sammlung von Unterrichtsideen</w:t>
      </w:r>
    </w:p>
    <w:p>
      <w:pPr>
        <w:pStyle w:val="Normal"/>
        <w:rPr/>
      </w:pPr>
      <w:r>
        <w:rPr/>
      </w:r>
    </w:p>
    <w:p>
      <w:pPr>
        <w:pStyle w:val="Normal"/>
        <w:rPr/>
      </w:pPr>
      <w:r>
        <w:rPr/>
      </w:r>
    </w:p>
    <w:tbl>
      <w:tblPr>
        <w:tblW w:w="9638"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2724"/>
        <w:gridCol w:w="3457"/>
        <w:gridCol w:w="3457"/>
      </w:tblGrid>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b/>
                <w:bCs/>
              </w:rPr>
              <w:t>Name</w:t>
            </w:r>
            <w:r>
              <w:rPr/>
              <w:t xml:space="preserve"> des Spiels</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Emojito!</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b/>
                <w:b/>
                <w:bCs/>
              </w:rPr>
            </w:pPr>
            <w:r>
              <w:rPr>
                <w:b/>
                <w:bCs/>
              </w:rPr>
              <w:t>Fach</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Darstellendes Spiel</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b/>
                <w:bCs/>
              </w:rPr>
              <w:t>Thema</w:t>
            </w:r>
            <w:r>
              <w:rPr/>
              <w:t xml:space="preserve"> / Inhalt</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 xml:space="preserve">Einsatz von Mimik und Stimme </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t xml:space="preserve">Klasse / </w:t>
            </w:r>
            <w:r>
              <w:rPr>
                <w:b/>
                <w:bCs/>
              </w:rPr>
              <w:t>Alter</w:t>
            </w:r>
            <w:r>
              <w:rPr/>
              <w:t xml:space="preserve"> der Lernenden</w:t>
            </w:r>
          </w:p>
        </w:tc>
        <w:tc>
          <w:tcPr>
            <w:tcW w:w="3457" w:type="dxa"/>
            <w:tcBorders>
              <w:top w:val="single" w:sz="2" w:space="0" w:color="000001"/>
              <w:left w:val="single" w:sz="2" w:space="0" w:color="000001"/>
              <w:bottom w:val="single" w:sz="2" w:space="0" w:color="000001"/>
              <w:insideH w:val="single" w:sz="2" w:space="0" w:color="000001"/>
            </w:tcBorders>
            <w:shd w:fill="FFFFFF" w:val="clear"/>
          </w:tcPr>
          <w:p>
            <w:pPr>
              <w:pStyle w:val="Tabelleninhalt"/>
              <w:rPr/>
            </w:pPr>
            <w:r>
              <w:rPr/>
              <w:t>7. bis 13.Schuljahr</w:t>
            </w:r>
          </w:p>
        </w:tc>
        <w:tc>
          <w:tcPr>
            <w:tcW w:w="34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Lehrer/in für Nachfragen: Krieg</w:t>
            </w:r>
          </w:p>
        </w:tc>
      </w:tr>
      <w:tr>
        <w:trPr>
          <w:trHeight w:val="485" w:hRule="atLeast"/>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b/>
                <w:bCs/>
              </w:rPr>
              <w:t>Anzahl</w:t>
            </w:r>
            <w:r>
              <w:rPr/>
              <w:t xml:space="preserve"> Lernende / einge-setzte Spiel-Exemplare</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2 bis 14 Spieler, optimal sind aber 7 Spieler / je nach Kursgröße 1-2 Exemplare</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b/>
                <w:bCs/>
              </w:rPr>
              <w:t xml:space="preserve">Dauer </w:t>
            </w:r>
            <w:r>
              <w:rPr/>
              <w:t xml:space="preserve">(ca. Minuten oder Unterrichtsstunden) </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Abhängig vom Spielverlauf ungefähr 30 Minuten</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b/>
                <w:b/>
                <w:bCs/>
              </w:rPr>
            </w:pPr>
            <w:r>
              <w:rPr>
                <w:b/>
                <w:bCs/>
              </w:rPr>
              <w:t>Unterrichtsphase</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Normal"/>
              <w:rPr/>
            </w:pPr>
            <w:r>
              <w:rPr>
                <w:rFonts w:eastAsia="Webdings" w:cs="Webdings"/>
              </w:rPr>
              <w:t>X</w:t>
            </w:r>
            <w:r>
              <w:rPr>
                <w:rFonts w:eastAsia="Webdings" w:cs="Webdings" w:ascii="Webdings" w:hAnsi="Webdings"/>
              </w:rPr>
              <w:t></w:t>
            </w:r>
            <w:r>
              <w:rPr>
                <w:rFonts w:eastAsia="Webdings" w:cs="Webdings"/>
              </w:rPr>
              <w:t xml:space="preserve">Einstieg  </w:t>
            </w:r>
            <w:r>
              <w:rPr>
                <w:rFonts w:eastAsia="Webdings" w:cs="Webdings" w:ascii="Webdings" w:hAnsi="Webdings"/>
              </w:rPr>
              <w:t></w:t>
            </w:r>
            <w:r>
              <w:rPr>
                <w:rFonts w:eastAsia="Webdings" w:cs="Webdings"/>
              </w:rPr>
              <w:t xml:space="preserve">Erarbeitung </w:t>
            </w:r>
            <w:r>
              <w:rPr>
                <w:rFonts w:eastAsia="Webdings" w:cs="Webdings" w:ascii="Webdings" w:hAnsi="Webdings"/>
              </w:rPr>
              <w:t></w:t>
            </w:r>
            <w:r>
              <w:rPr>
                <w:rFonts w:eastAsia="Webdings" w:cs="Webdings"/>
              </w:rPr>
              <w:t xml:space="preserve"> Sicherung  </w:t>
            </w:r>
            <w:r>
              <w:rPr>
                <w:rFonts w:eastAsia="Webdings" w:cs="Webdings"/>
              </w:rPr>
              <w:t>X</w:t>
            </w:r>
            <w:r>
              <w:rPr>
                <w:rFonts w:eastAsia="Webdings" w:cs="Webdings" w:ascii="Webdings" w:hAnsi="Webdings"/>
              </w:rPr>
              <w:t xml:space="preserve"> </w:t>
            </w:r>
            <w:r>
              <w:rPr>
                <w:rFonts w:eastAsia="Webdings" w:cs="Webdings"/>
              </w:rPr>
              <w:t>Wiederholen/Üben</w:t>
            </w:r>
          </w:p>
          <w:p>
            <w:pPr>
              <w:pStyle w:val="Tabelleninhalt"/>
              <w:rPr>
                <w:rFonts w:eastAsia="Webdings" w:cs="Webdings"/>
              </w:rPr>
            </w:pPr>
            <w:r>
              <w:rPr>
                <w:rFonts w:eastAsia="Webdings" w:cs="Webdings"/>
              </w:rPr>
            </w:r>
          </w:p>
          <w:p>
            <w:pPr>
              <w:pStyle w:val="Normal"/>
              <w:rPr/>
            </w:pPr>
            <w:r>
              <w:rPr>
                <w:rFonts w:eastAsia="Webdings" w:cs="Webdings"/>
              </w:rPr>
              <w:t>X</w:t>
            </w:r>
            <w:r>
              <w:rPr>
                <w:rFonts w:eastAsia="Webdings" w:cs="Webdings" w:ascii="Webdings" w:hAnsi="Webdings"/>
              </w:rPr>
              <w:t></w:t>
            </w:r>
            <w:r>
              <w:rPr>
                <w:rFonts w:eastAsia="Webdings" w:cs="Webdings"/>
              </w:rPr>
              <w:t>Andere: Warming Up</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b/>
                <w:bCs/>
              </w:rPr>
              <w:t>Lernziel</w:t>
            </w:r>
            <w:r>
              <w:rPr/>
              <w:t xml:space="preserve"> und/oder </w:t>
            </w:r>
          </w:p>
          <w:p>
            <w:pPr>
              <w:pStyle w:val="Normal"/>
              <w:rPr/>
            </w:pPr>
            <w:r>
              <w:rPr/>
              <w:t xml:space="preserve">geförderte </w:t>
            </w:r>
            <w:r>
              <w:rPr>
                <w:b/>
                <w:bCs/>
              </w:rPr>
              <w:t>Kompetenzen</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Einsatz von Mimik und Stimme</w:t>
            </w:r>
          </w:p>
          <w:p>
            <w:pPr>
              <w:pStyle w:val="Tabelleninhalt"/>
              <w:rPr/>
            </w:pPr>
            <w:r>
              <w:rPr/>
            </w:r>
          </w:p>
          <w:p>
            <w:pPr>
              <w:pStyle w:val="Tabelleninhalt"/>
              <w:rPr/>
            </w:pPr>
            <w:r>
              <w:rPr/>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t xml:space="preserve">Benötigte </w:t>
            </w:r>
            <w:r>
              <w:rPr>
                <w:b/>
                <w:bCs/>
              </w:rPr>
              <w:t>Materialien</w:t>
            </w:r>
            <w:r>
              <w:rPr/>
              <w:t xml:space="preserve"> (aus dem Spiel oder ggf. auch darüber hinaus zusätzliche Materialien und Medien)</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Wählscheiben, Spielbrett, Emotionskarten und Marker aus dem Spiel</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t xml:space="preserve">Kurze Beschreibung der </w:t>
            </w:r>
          </w:p>
          <w:p>
            <w:pPr>
              <w:pStyle w:val="Normal"/>
              <w:rPr/>
            </w:pPr>
            <w:r>
              <w:rPr>
                <w:b/>
                <w:bCs/>
              </w:rPr>
              <w:t xml:space="preserve">Unterrichtsidee </w:t>
            </w:r>
            <w:r>
              <w:rPr/>
              <w:t>(Voraussetzung/en, Unterrichtsphase, Ablauf, Hindernisse und Tipps für die Durchführung)</w:t>
            </w:r>
          </w:p>
          <w:p>
            <w:pPr>
              <w:pStyle w:val="Tabelleninhalt"/>
              <w:rPr/>
            </w:pPr>
            <w:r>
              <w:rPr/>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Sowohl zum Einstieg in das Thema „Mimik“ oder allgemeiner in das Thema „Spieler als Ausdrucksträger“ als auch zum Üben dieser Ausdrucksform gut geeignet. Das Spiel kann aufgrund der vorgegebenen Mimik auf den Karten ein Bewusstsein für die mimischen Möglichkeiten schaffen und die Schüler auflockern.</w:t>
            </w:r>
          </w:p>
          <w:p>
            <w:pPr>
              <w:pStyle w:val="Tabelleninhalt"/>
              <w:rPr/>
            </w:pPr>
            <w:r>
              <w:rPr/>
              <w:t>Eventuell kann in der Gruppe auch ein direktes Feedback mit Tipps für den „Vorspieler“ erfolgen.</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b/>
                <w:b/>
                <w:bCs/>
              </w:rPr>
            </w:pPr>
            <w:r>
              <w:rPr>
                <w:b/>
                <w:bCs/>
              </w:rPr>
              <w:t>Differenzierungs-möglichkeiten</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bookmarkStart w:id="0" w:name="_GoBack"/>
            <w:bookmarkEnd w:id="0"/>
            <w:r>
              <w:rPr/>
              <w:t>-</w:t>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ebdings">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before="0" w:after="12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abelleninhalt">
    <w:name w:val="Tabelleninhalt"/>
    <w:basedOn w:val="Normal"/>
    <w:qFormat/>
    <w:pPr>
      <w:numPr>
        <w:ilvl w:val="0"/>
        <w:numId w:val="0"/>
      </w:num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LibreOffice/6.0.7.3$Windows_X86_64 LibreOffice_project/dc89aa7a9eabfd848af146d5086077aeed2ae4a5</Application>
  <Pages>1</Pages>
  <Words>200</Words>
  <Characters>1249</Characters>
  <CharactersWithSpaces>1420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2019-01-30T13:42:58Z</dcterms:created>
  <dc:creator/>
  <dc:description/>
  <dc:language>de-DE</dc:language>
  <cp:lastModifiedBy/>
  <cp:lastPrinted>2019-01-30T14:07:07Z</cp:lastPrinted>
  <dcterms:modified xsi:type="dcterms:W3CDTF">2019-01-31T12:52:21Z</dcterms:modified>
  <cp:revision>10</cp:revision>
  <dc:subject/>
  <dc:title/>
</cp:coreProperties>
</file>